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p w:rsidR="00000000" w:rsidDel="00000000" w:rsidP="00000000" w:rsidRDefault="00000000" w:rsidRPr="00000000" w14:paraId="00000024">
      <w:pPr>
        <w:keepNext w:val="1"/>
        <w:tabs>
          <w:tab w:val="left" w:leader="none" w:pos="1134"/>
        </w:tabs>
        <w:spacing w:after="120" w:before="120" w:line="240" w:lineRule="auto"/>
        <w:ind w:left="360" w:firstLine="0"/>
        <w:rPr>
          <w:rFonts w:ascii="Arial" w:cs="Arial" w:eastAsia="Arial" w:hAnsi="Arial"/>
          <w:sz w:val="24"/>
          <w:szCs w:val="24"/>
        </w:rPr>
      </w:pPr>
      <w:r w:rsidDel="00000000" w:rsidR="00000000" w:rsidRPr="00000000">
        <w:rPr>
          <w:rtl w:val="0"/>
        </w:rPr>
      </w:r>
    </w:p>
    <w:tbl>
      <w:tblPr>
        <w:tblStyle w:val="Table2"/>
        <w:tblW w:w="892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23"/>
        <w:gridCol w:w="2835"/>
        <w:gridCol w:w="2268"/>
        <w:tblGridChange w:id="0">
          <w:tblGrid>
            <w:gridCol w:w="3823"/>
            <w:gridCol w:w="2835"/>
            <w:gridCol w:w="226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keepNext w:val="1"/>
              <w:spacing w:after="80" w:before="80" w:lineRule="auto"/>
              <w:ind w:left="142" w:firstLine="0"/>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after="80" w:before="80" w:lineRule="auto"/>
              <w:ind w:left="2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 Confirmation that supplier matrix is up to date or provide any relevant changes to the Authority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keepNext w:val="1"/>
              <w:spacing w:after="80" w:before="80" w:lineRule="auto"/>
              <w:ind w:left="142"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Confirmation at contract review by supplier that the supplier matrix is up to date</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 MI returns: All MI returns to be returned to CCS by the Reporting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if submitted by the Reporting Date</w:t>
            </w:r>
          </w:p>
          <w:p w:rsidR="00000000" w:rsidDel="00000000" w:rsidP="00000000" w:rsidRDefault="00000000" w:rsidRPr="00000000" w14:paraId="00000030">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60% if submitted up to 3 days late</w:t>
            </w:r>
          </w:p>
          <w:p w:rsidR="00000000" w:rsidDel="00000000" w:rsidP="00000000" w:rsidRDefault="00000000" w:rsidRPr="00000000" w14:paraId="00000031">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 if submitted over 3 working dates late</w:t>
            </w:r>
          </w:p>
          <w:p w:rsidR="00000000" w:rsidDel="00000000" w:rsidP="00000000" w:rsidRDefault="00000000" w:rsidRPr="00000000" w14:paraId="00000032">
            <w:pPr>
              <w:keepNext w:val="1"/>
              <w:spacing w:after="80" w:before="80" w:lineRule="auto"/>
              <w:ind w:left="142"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 as evidenced within the Authority’s data management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 All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if paid within 30 calendar days of issue</w:t>
            </w:r>
          </w:p>
          <w:p w:rsidR="00000000" w:rsidDel="00000000" w:rsidP="00000000" w:rsidRDefault="00000000" w:rsidRPr="00000000" w14:paraId="00000036">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 if paid over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finance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 Supplier self-audit certificate to be issued to the Authority in accordance with the Framework Agreement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if certificate is confirmed</w:t>
            </w:r>
          </w:p>
          <w:p w:rsidR="00000000" w:rsidDel="00000000" w:rsidP="00000000" w:rsidRDefault="00000000" w:rsidRPr="00000000" w14:paraId="0000003A">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 if no certificate is confirmed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5. Actions identified in and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if no Action Plan is required or if all actions since last audit have been delivered to plan</w:t>
            </w:r>
          </w:p>
          <w:p w:rsidR="00000000" w:rsidDel="00000000" w:rsidP="00000000" w:rsidRDefault="00000000" w:rsidRPr="00000000" w14:paraId="0000003E">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66% if up to two actions are late</w:t>
            </w:r>
          </w:p>
          <w:p w:rsidR="00000000" w:rsidDel="00000000" w:rsidP="00000000" w:rsidRDefault="00000000" w:rsidRPr="00000000" w14:paraId="0000003F">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33% if three or four actions are late</w:t>
            </w:r>
          </w:p>
          <w:p w:rsidR="00000000" w:rsidDel="00000000" w:rsidP="00000000" w:rsidRDefault="00000000" w:rsidRPr="00000000" w14:paraId="00000040">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 if more than four actions are late</w:t>
            </w:r>
          </w:p>
          <w:p w:rsidR="00000000" w:rsidDel="00000000" w:rsidP="00000000" w:rsidRDefault="00000000" w:rsidRPr="00000000" w14:paraId="00000041">
            <w:pPr>
              <w:keepNext w:val="1"/>
              <w:spacing w:after="80" w:before="80" w:lineRule="auto"/>
              <w:ind w:left="142"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completion of the actions by the dates identified in the Audit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6. Services to be provided under Call Off Agreements to the satisfaction of customers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90% satisfaction from customer satisfaction survey.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customer satisfaction surveys</w:t>
            </w:r>
          </w:p>
        </w:tc>
      </w:tr>
    </w:tbl>
    <w:p w:rsidR="00000000" w:rsidDel="00000000" w:rsidP="00000000" w:rsidRDefault="00000000" w:rsidRPr="00000000" w14:paraId="00000046">
      <w:pPr>
        <w:tabs>
          <w:tab w:val="left" w:leader="none" w:pos="1134"/>
        </w:tabs>
        <w:spacing w:after="120" w:before="120" w:line="240" w:lineRule="auto"/>
        <w:rPr>
          <w:rFonts w:ascii="Arial" w:cs="Arial" w:eastAsia="Arial" w:hAnsi="Arial"/>
          <w:sz w:val="24"/>
          <w:szCs w:val="24"/>
        </w:rPr>
      </w:pPr>
      <w:r w:rsidDel="00000000" w:rsidR="00000000" w:rsidRPr="00000000">
        <w:rPr>
          <w:rtl w:val="0"/>
        </w:rPr>
      </w:r>
    </w:p>
    <w:tbl>
      <w:tblPr>
        <w:tblStyle w:val="Table3"/>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9">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spacing w:after="80" w:before="80" w:lineRule="auto"/>
              <w:rPr>
                <w:rFonts w:ascii="Arial" w:cs="Arial" w:eastAsia="Arial" w:hAnsi="Arial"/>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80" w:before="80" w:lineRule="auto"/>
              <w:rPr>
                <w:rFonts w:ascii="Arial" w:cs="Arial" w:eastAsia="Arial" w:hAnsi="Arial"/>
                <w:b w:val="1"/>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after="80" w:before="80" w:lineRule="auto"/>
              <w:rPr>
                <w:rFonts w:ascii="Arial" w:cs="Arial" w:eastAsia="Arial" w:hAnsi="Arial"/>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spacing w:after="80" w:before="8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53">
      <w:pPr>
        <w:pageBreakBefore w:val="0"/>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57">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58">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5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6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bookmarkStart w:colFirst="0" w:colLast="0" w:name="_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6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6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both"/>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7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7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7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7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7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7E">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8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425"/>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8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8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firstLine="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8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8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shd w:fill="auto" w:val="clear"/>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8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crown-commercial-service-supplier-logo-and-brand-guidelines"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